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65" w:rsidRPr="00912765" w:rsidRDefault="00912765" w:rsidP="00912765">
      <w:pPr>
        <w:shd w:val="clear" w:color="auto" w:fill="FFFFFF"/>
        <w:spacing w:before="100" w:beforeAutospacing="1" w:after="150" w:line="264" w:lineRule="atLeast"/>
        <w:outlineLvl w:val="0"/>
        <w:rPr>
          <w:rFonts w:ascii="Arial" w:eastAsia="Times New Roman" w:hAnsi="Arial" w:cs="Arial"/>
          <w:b/>
          <w:bCs/>
          <w:color w:val="012D55"/>
          <w:kern w:val="36"/>
          <w:sz w:val="45"/>
          <w:szCs w:val="45"/>
          <w:lang w:eastAsia="en-GB"/>
        </w:rPr>
      </w:pPr>
      <w:bookmarkStart w:id="0" w:name="_GoBack"/>
      <w:bookmarkEnd w:id="0"/>
      <w:r w:rsidRPr="00912765">
        <w:rPr>
          <w:rFonts w:ascii="Arial" w:eastAsia="Times New Roman" w:hAnsi="Arial" w:cs="Arial"/>
          <w:b/>
          <w:bCs/>
          <w:color w:val="012D55"/>
          <w:kern w:val="36"/>
          <w:sz w:val="45"/>
          <w:szCs w:val="45"/>
          <w:lang w:eastAsia="en-GB"/>
        </w:rPr>
        <w:t>Nasal Steroid Use</w:t>
      </w:r>
    </w:p>
    <w:p w:rsidR="00912765" w:rsidRPr="00912765" w:rsidRDefault="00912765" w:rsidP="00912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2765">
        <w:rPr>
          <w:rFonts w:ascii="Calibri" w:eastAsia="Times New Roman" w:hAnsi="Calibri" w:cs="Calibri"/>
          <w:color w:val="000000"/>
          <w:sz w:val="36"/>
          <w:szCs w:val="36"/>
          <w:lang w:eastAsia="en-GB"/>
        </w:rPr>
        <w:t>Important points:</w:t>
      </w:r>
    </w:p>
    <w:p w:rsidR="00912765" w:rsidRPr="00912765" w:rsidRDefault="00912765" w:rsidP="009127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276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Review regularly for red flag symptoms – click </w:t>
      </w:r>
      <w:hyperlink r:id="rId6" w:history="1">
        <w:r w:rsidRPr="0091276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GB"/>
          </w:rPr>
          <w:t>here</w:t>
        </w:r>
      </w:hyperlink>
    </w:p>
    <w:p w:rsidR="00912765" w:rsidRPr="00912765" w:rsidRDefault="00912765" w:rsidP="009127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276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Where there is poor concordance or tolerance</w:t>
      </w:r>
      <w:r w:rsidRPr="00912765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it is worth ensuring that the patient is aware that surgery can carry significant risks, may not cure the symptoms, or they may recur</w:t>
      </w:r>
    </w:p>
    <w:p w:rsidR="00912765" w:rsidRPr="00912765" w:rsidRDefault="00912765" w:rsidP="009127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276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Examine the nose </w:t>
      </w:r>
      <w:r w:rsidRPr="0091276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e.g. large polyps/ </w:t>
      </w:r>
      <w:proofErr w:type="spellStart"/>
      <w:r w:rsidRPr="0091276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turbinates</w:t>
      </w:r>
      <w:proofErr w:type="spellEnd"/>
      <w:r w:rsidRPr="0091276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can block the distribution of topical treatment. An initial course of PO steroids is often effective in shrinking these</w:t>
      </w:r>
    </w:p>
    <w:p w:rsidR="00912765" w:rsidRPr="00912765" w:rsidRDefault="00912765" w:rsidP="009127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276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Ask about OTC decongestant use</w:t>
      </w:r>
    </w:p>
    <w:p w:rsidR="00912765" w:rsidRPr="00912765" w:rsidRDefault="00912765" w:rsidP="009127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276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Consider topical Ipratropium (</w:t>
      </w:r>
      <w:proofErr w:type="spellStart"/>
      <w:r w:rsidRPr="0091276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Rhinatec</w:t>
      </w:r>
      <w:proofErr w:type="spellEnd"/>
      <w:r w:rsidRPr="0091276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) in those with persistent, non-allergic, clear nasal discharge</w:t>
      </w:r>
    </w:p>
    <w:p w:rsidR="00912765" w:rsidRPr="00912765" w:rsidRDefault="00912765" w:rsidP="009127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2765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Consider oral or topical antihistamines in those with a history suggestive of allergy</w:t>
      </w:r>
    </w:p>
    <w:p w:rsidR="00912765" w:rsidRPr="00912765" w:rsidRDefault="00912765" w:rsidP="009127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276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Consider antibiotics as per Sinusitis guidelines (click below for more info):</w:t>
      </w:r>
    </w:p>
    <w:p w:rsidR="00912765" w:rsidRPr="00912765" w:rsidRDefault="00646076" w:rsidP="0091276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hyperlink r:id="rId7" w:history="1">
        <w:r w:rsidR="00912765" w:rsidRPr="009127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GB"/>
          </w:rPr>
          <w:t>Acute sinusitis</w:t>
        </w:r>
      </w:hyperlink>
    </w:p>
    <w:p w:rsidR="00912765" w:rsidRPr="00912765" w:rsidRDefault="00646076" w:rsidP="0091276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hyperlink r:id="rId8" w:history="1">
        <w:r w:rsidR="00912765" w:rsidRPr="0091276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GB"/>
          </w:rPr>
          <w:t>Chronic sinusitis</w:t>
        </w:r>
      </w:hyperlink>
    </w:p>
    <w:p w:rsidR="00912765" w:rsidRPr="00912765" w:rsidRDefault="00912765" w:rsidP="0091276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12765" w:rsidRPr="00912765" w:rsidRDefault="00912765" w:rsidP="00912765">
      <w:pPr>
        <w:shd w:val="clear" w:color="auto" w:fill="FFFFFF"/>
        <w:spacing w:before="7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2E84F3" wp14:editId="73AF4B38">
            <wp:simplePos x="0" y="0"/>
            <wp:positionH relativeFrom="column">
              <wp:posOffset>-55245</wp:posOffset>
            </wp:positionH>
            <wp:positionV relativeFrom="paragraph">
              <wp:posOffset>53340</wp:posOffset>
            </wp:positionV>
            <wp:extent cx="6519545" cy="5029835"/>
            <wp:effectExtent l="0" t="0" r="0" b="0"/>
            <wp:wrapThrough wrapText="bothSides">
              <wp:wrapPolygon edited="0">
                <wp:start x="0" y="0"/>
                <wp:lineTo x="0" y="21515"/>
                <wp:lineTo x="21522" y="21515"/>
                <wp:lineTo x="2152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545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76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12765" w:rsidRPr="00912765" w:rsidRDefault="00912765" w:rsidP="00912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1276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93F9E" w:rsidRDefault="00993F9E"/>
    <w:sectPr w:rsidR="00993F9E" w:rsidSect="00912765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9025F"/>
    <w:multiLevelType w:val="multilevel"/>
    <w:tmpl w:val="396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65"/>
    <w:rsid w:val="00646076"/>
    <w:rsid w:val="00912765"/>
    <w:rsid w:val="009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2765"/>
    <w:pPr>
      <w:spacing w:before="100" w:beforeAutospacing="1" w:after="150" w:line="264" w:lineRule="atLeast"/>
      <w:outlineLvl w:val="0"/>
    </w:pPr>
    <w:rPr>
      <w:rFonts w:ascii="Arial" w:eastAsia="Times New Roman" w:hAnsi="Arial" w:cs="Arial"/>
      <w:b/>
      <w:bCs/>
      <w:color w:val="012D55"/>
      <w:kern w:val="36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765"/>
    <w:rPr>
      <w:rFonts w:ascii="Arial" w:eastAsia="Times New Roman" w:hAnsi="Arial" w:cs="Arial"/>
      <w:b/>
      <w:bCs/>
      <w:color w:val="012D55"/>
      <w:kern w:val="36"/>
      <w:sz w:val="45"/>
      <w:szCs w:val="4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2765"/>
    <w:rPr>
      <w:color w:val="012D55"/>
      <w:u w:val="single"/>
    </w:rPr>
  </w:style>
  <w:style w:type="paragraph" w:styleId="NormalWeb">
    <w:name w:val="Normal (Web)"/>
    <w:basedOn w:val="Normal"/>
    <w:uiPriority w:val="99"/>
    <w:semiHidden/>
    <w:unhideWhenUsed/>
    <w:rsid w:val="00912765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2765"/>
    <w:pPr>
      <w:spacing w:before="100" w:beforeAutospacing="1" w:after="150" w:line="264" w:lineRule="atLeast"/>
      <w:outlineLvl w:val="0"/>
    </w:pPr>
    <w:rPr>
      <w:rFonts w:ascii="Arial" w:eastAsia="Times New Roman" w:hAnsi="Arial" w:cs="Arial"/>
      <w:b/>
      <w:bCs/>
      <w:color w:val="012D55"/>
      <w:kern w:val="36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765"/>
    <w:rPr>
      <w:rFonts w:ascii="Arial" w:eastAsia="Times New Roman" w:hAnsi="Arial" w:cs="Arial"/>
      <w:b/>
      <w:bCs/>
      <w:color w:val="012D55"/>
      <w:kern w:val="36"/>
      <w:sz w:val="45"/>
      <w:szCs w:val="4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2765"/>
    <w:rPr>
      <w:color w:val="012D55"/>
      <w:u w:val="single"/>
    </w:rPr>
  </w:style>
  <w:style w:type="paragraph" w:styleId="NormalWeb">
    <w:name w:val="Normal (Web)"/>
    <w:basedOn w:val="Normal"/>
    <w:uiPriority w:val="99"/>
    <w:semiHidden/>
    <w:unhideWhenUsed/>
    <w:rsid w:val="00912765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8850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  <w:divsChild>
                <w:div w:id="479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s.kernowccg.nhs.uk/rms/primary_care_clinical_referral_criteria/ent/nose/chronic_sinusitis_polyposis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rms.kernowccg.nhs.uk/rms/primary_care_clinical_referral_criteria/ent/nose/acute_sinusiti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ms.kernowccg.nhs.uk/primary_care_clinical_referral_criteria/ent/nose/nasal_and_sinus_red_flag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226C8-00E3-4731-94D7-11D9D0F376C6}"/>
</file>

<file path=customXml/itemProps2.xml><?xml version="1.0" encoding="utf-8"?>
<ds:datastoreItem xmlns:ds="http://schemas.openxmlformats.org/officeDocument/2006/customXml" ds:itemID="{462C15A5-C5FC-4195-8162-A73DFD80F619}"/>
</file>

<file path=customXml/itemProps3.xml><?xml version="1.0" encoding="utf-8"?>
<ds:datastoreItem xmlns:ds="http://schemas.openxmlformats.org/officeDocument/2006/customXml" ds:itemID="{69066656-B904-457C-8EFD-D8B6F1201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Long</dc:creator>
  <cp:lastModifiedBy>Peter Yates</cp:lastModifiedBy>
  <cp:revision>2</cp:revision>
  <dcterms:created xsi:type="dcterms:W3CDTF">2019-03-12T10:01:00Z</dcterms:created>
  <dcterms:modified xsi:type="dcterms:W3CDTF">2019-03-12T10:01:00Z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